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F68A" w14:textId="77777777" w:rsidR="00793990" w:rsidRDefault="00793990" w:rsidP="00793990">
      <w:pPr>
        <w:pStyle w:val="Textbody"/>
        <w:spacing w:line="360" w:lineRule="auto"/>
        <w:jc w:val="right"/>
        <w:rPr>
          <w:rFonts w:ascii="Arial" w:hAnsi="Arial"/>
          <w:b/>
          <w:bCs/>
          <w:i/>
          <w:iCs/>
          <w:color w:val="000000"/>
        </w:rPr>
      </w:pPr>
      <w:r>
        <w:rPr>
          <w:rFonts w:ascii="Arial" w:hAnsi="Arial"/>
          <w:b/>
          <w:bCs/>
          <w:i/>
          <w:iCs/>
          <w:color w:val="000000"/>
        </w:rPr>
        <w:t>Załącznik b</w:t>
      </w:r>
    </w:p>
    <w:p w14:paraId="46A1C8D3" w14:textId="77777777" w:rsidR="00793990" w:rsidRDefault="00793990" w:rsidP="00793990">
      <w:pPr>
        <w:pStyle w:val="Textbody"/>
        <w:spacing w:line="360" w:lineRule="auto"/>
        <w:jc w:val="right"/>
        <w:rPr>
          <w:rFonts w:ascii="Arial" w:hAnsi="Arial"/>
          <w:b/>
          <w:bCs/>
          <w:i/>
          <w:iCs/>
          <w:color w:val="000000"/>
        </w:rPr>
      </w:pPr>
      <w:r>
        <w:rPr>
          <w:rFonts w:ascii="Arial" w:hAnsi="Arial"/>
          <w:b/>
          <w:bCs/>
          <w:i/>
          <w:iCs/>
          <w:color w:val="000000"/>
        </w:rPr>
        <w:t>do Ogłoszenia o konkursie</w:t>
      </w:r>
    </w:p>
    <w:p w14:paraId="47A22570" w14:textId="77777777" w:rsidR="00793990" w:rsidRDefault="00793990" w:rsidP="00793990">
      <w:pPr>
        <w:pStyle w:val="Textbody"/>
        <w:spacing w:line="360" w:lineRule="auto"/>
        <w:jc w:val="right"/>
        <w:rPr>
          <w:rFonts w:ascii="Arial" w:hAnsi="Arial"/>
          <w:b/>
          <w:bCs/>
          <w:i/>
          <w:iCs/>
          <w:color w:val="000000"/>
          <w:sz w:val="16"/>
          <w:szCs w:val="16"/>
        </w:rPr>
      </w:pPr>
    </w:p>
    <w:p w14:paraId="32830AE9" w14:textId="77777777" w:rsidR="00793990" w:rsidRDefault="00793990" w:rsidP="00793990">
      <w:pPr>
        <w:pStyle w:val="Textbody"/>
        <w:spacing w:line="360" w:lineRule="auto"/>
        <w:jc w:val="right"/>
        <w:rPr>
          <w:rFonts w:ascii="Arial" w:hAnsi="Arial"/>
          <w:color w:val="000000"/>
        </w:rPr>
      </w:pPr>
      <w:r>
        <w:rPr>
          <w:rFonts w:ascii="Arial" w:hAnsi="Arial"/>
          <w:color w:val="000000"/>
        </w:rPr>
        <w:t>Gniew, dnia …………………….</w:t>
      </w:r>
    </w:p>
    <w:p w14:paraId="68466296" w14:textId="77777777" w:rsidR="00793990" w:rsidRDefault="00793990" w:rsidP="00793990">
      <w:pPr>
        <w:pStyle w:val="Textbody"/>
        <w:spacing w:line="360" w:lineRule="auto"/>
        <w:jc w:val="center"/>
        <w:rPr>
          <w:rFonts w:ascii="Arial" w:hAnsi="Arial"/>
          <w:b/>
          <w:bCs/>
          <w:color w:val="000000"/>
          <w:sz w:val="32"/>
          <w:szCs w:val="32"/>
        </w:rPr>
      </w:pPr>
      <w:r>
        <w:rPr>
          <w:rFonts w:ascii="Arial" w:hAnsi="Arial"/>
          <w:b/>
          <w:bCs/>
          <w:color w:val="000000"/>
          <w:sz w:val="32"/>
          <w:szCs w:val="32"/>
        </w:rPr>
        <w:t>OŚWIADCZENIE</w:t>
      </w:r>
    </w:p>
    <w:p w14:paraId="6F40FB71" w14:textId="77777777" w:rsidR="00793990" w:rsidRDefault="00793990" w:rsidP="00793990">
      <w:pPr>
        <w:pStyle w:val="Textbody"/>
        <w:numPr>
          <w:ilvl w:val="0"/>
          <w:numId w:val="2"/>
        </w:numPr>
        <w:spacing w:line="360" w:lineRule="auto"/>
        <w:jc w:val="both"/>
      </w:pPr>
      <w:r>
        <w:rPr>
          <w:rFonts w:ascii="Arial" w:hAnsi="Arial"/>
          <w:color w:val="000000"/>
        </w:rPr>
        <w:t xml:space="preserve">Oświadczam, że w dniu złożenia wniosku </w:t>
      </w:r>
      <w:r>
        <w:rPr>
          <w:rFonts w:ascii="Arial" w:hAnsi="Arial"/>
          <w:b/>
        </w:rPr>
        <w:t xml:space="preserve">co najmniej </w:t>
      </w:r>
      <w:r>
        <w:rPr>
          <w:rFonts w:ascii="Arial" w:hAnsi="Arial"/>
          <w:b/>
          <w:color w:val="000000"/>
        </w:rPr>
        <w:t>70%</w:t>
      </w:r>
      <w:r>
        <w:rPr>
          <w:rFonts w:ascii="Arial" w:hAnsi="Arial"/>
          <w:b/>
        </w:rPr>
        <w:t xml:space="preserve"> łącznej kadry zawodniczej szkolonej w klubie/stowarzyszeniu w ramach złożonego wniosku stanowią mieszkańcy Gminy Gniew</w:t>
      </w:r>
      <w:r>
        <w:rPr>
          <w:rStyle w:val="Odwoanieprzypisudolnego"/>
          <w:rFonts w:ascii="Arial" w:hAnsi="Arial"/>
          <w:b/>
        </w:rPr>
        <w:footnoteReference w:id="1"/>
      </w:r>
      <w:r>
        <w:rPr>
          <w:rFonts w:ascii="Arial" w:hAnsi="Arial"/>
          <w:b/>
        </w:rPr>
        <w:t xml:space="preserve"> </w:t>
      </w:r>
      <w:r>
        <w:rPr>
          <w:rFonts w:ascii="Arial" w:hAnsi="Arial"/>
          <w:color w:val="000000"/>
        </w:rPr>
        <w:t>(w dniu złożenia wniosku).</w:t>
      </w:r>
    </w:p>
    <w:p w14:paraId="2AFB0DEC" w14:textId="62FE663D" w:rsidR="00793990" w:rsidRDefault="00793990" w:rsidP="00793990">
      <w:pPr>
        <w:pStyle w:val="Textbody"/>
        <w:numPr>
          <w:ilvl w:val="0"/>
          <w:numId w:val="2"/>
        </w:numPr>
        <w:spacing w:line="360" w:lineRule="auto"/>
        <w:jc w:val="both"/>
        <w:rPr>
          <w:rFonts w:ascii="Arial" w:hAnsi="Arial"/>
          <w:color w:val="000000"/>
        </w:rPr>
      </w:pPr>
      <w:r>
        <w:rPr>
          <w:rFonts w:ascii="Arial" w:hAnsi="Arial"/>
          <w:color w:val="000000"/>
        </w:rPr>
        <w:t>Oświadczam, że w dniu złożenia wniosku liczba zawodników objętych projektem, którzy są mieszkańcami Gminy Gniew i uczestniczą w sposób zorganizowany w systemie szkolenia i współzawodnictwa sportowego oraz są zgłoszeni do odpowiednich związków sportowych wynosi  ………………………………</w:t>
      </w:r>
    </w:p>
    <w:p w14:paraId="7C51D18D" w14:textId="77777777" w:rsidR="00793990" w:rsidRDefault="00793990" w:rsidP="00793990">
      <w:pPr>
        <w:pStyle w:val="Textbody"/>
        <w:numPr>
          <w:ilvl w:val="0"/>
          <w:numId w:val="2"/>
        </w:numPr>
        <w:spacing w:line="360" w:lineRule="auto"/>
        <w:jc w:val="both"/>
        <w:rPr>
          <w:rFonts w:ascii="Arial" w:hAnsi="Arial"/>
          <w:color w:val="000000"/>
        </w:rPr>
      </w:pPr>
      <w:r>
        <w:rPr>
          <w:rFonts w:ascii="Arial" w:hAnsi="Arial"/>
          <w:color w:val="000000"/>
        </w:rPr>
        <w:t>Oświadczam, że w dniu złożenia wniosku liczba grup szkoleniowych objętych projektem wynosi (należy przedstawić dokładny i jasny opis)</w:t>
      </w:r>
    </w:p>
    <w:p w14:paraId="2F840822" w14:textId="54A519DC" w:rsidR="000F101D" w:rsidRDefault="00793990" w:rsidP="00793990">
      <w:pPr>
        <w:rPr>
          <w:rFonts w:ascii="Arial" w:hAnsi="Arial"/>
        </w:rPr>
      </w:pPr>
      <w:r>
        <w:rPr>
          <w:rFonts w:ascii="Arial" w:hAnsi="Arial"/>
        </w:rPr>
        <w:t>………………………………………………………………………………………………………………………</w:t>
      </w:r>
    </w:p>
    <w:p w14:paraId="7FC26199" w14:textId="77777777" w:rsidR="00793990" w:rsidRDefault="00793990" w:rsidP="00793990">
      <w:pPr>
        <w:rPr>
          <w:rFonts w:ascii="Arial" w:hAnsi="Arial"/>
        </w:rPr>
      </w:pPr>
    </w:p>
    <w:p w14:paraId="4A297EA5" w14:textId="7CAD7197" w:rsidR="00793990" w:rsidRDefault="00793990" w:rsidP="00793990">
      <w:pPr>
        <w:rPr>
          <w:rFonts w:ascii="Arial" w:hAnsi="Arial"/>
        </w:rPr>
      </w:pPr>
      <w:r>
        <w:rPr>
          <w:rFonts w:ascii="Arial" w:hAnsi="Arial"/>
        </w:rPr>
        <w:t>………………………………………………………………………………………………………………………</w:t>
      </w:r>
    </w:p>
    <w:p w14:paraId="7E95C8C5" w14:textId="77777777" w:rsidR="00793990" w:rsidRDefault="00793990" w:rsidP="00793990">
      <w:pPr>
        <w:rPr>
          <w:rFonts w:ascii="Arial" w:hAnsi="Arial"/>
        </w:rPr>
      </w:pPr>
    </w:p>
    <w:p w14:paraId="7B827A61" w14:textId="4722BBA0" w:rsidR="00793990" w:rsidRDefault="00793990" w:rsidP="00793990">
      <w:pPr>
        <w:rPr>
          <w:rFonts w:ascii="Arial" w:hAnsi="Arial"/>
        </w:rPr>
      </w:pPr>
      <w:r>
        <w:rPr>
          <w:rFonts w:ascii="Arial" w:hAnsi="Arial"/>
        </w:rPr>
        <w:t>………………………………………………………………………………………………………………………</w:t>
      </w:r>
    </w:p>
    <w:p w14:paraId="744097FE" w14:textId="77777777" w:rsidR="00793990" w:rsidRDefault="00793990" w:rsidP="00793990">
      <w:pPr>
        <w:rPr>
          <w:rFonts w:ascii="Arial" w:hAnsi="Arial"/>
        </w:rPr>
      </w:pPr>
    </w:p>
    <w:p w14:paraId="64605051" w14:textId="77777777" w:rsidR="00FC2322" w:rsidRDefault="00FC2322" w:rsidP="00FC2322">
      <w:pPr>
        <w:pStyle w:val="Textbody"/>
        <w:jc w:val="both"/>
        <w:rPr>
          <w:rFonts w:ascii="Arial" w:hAnsi="Arial"/>
          <w:b/>
          <w:bCs/>
          <w:color w:val="FF3333"/>
          <w:u w:val="single"/>
        </w:rPr>
      </w:pPr>
    </w:p>
    <w:p w14:paraId="5DF61A00" w14:textId="647289CD" w:rsidR="00FC2322" w:rsidRDefault="00FC2322" w:rsidP="00FC2322">
      <w:pPr>
        <w:pStyle w:val="Standard"/>
        <w:spacing w:line="360" w:lineRule="auto"/>
      </w:pPr>
      <w:r>
        <w:rPr>
          <w:rFonts w:ascii="Arial" w:hAnsi="Arial"/>
          <w:color w:val="000000"/>
        </w:rPr>
        <w:t xml:space="preserve">                                                             ……………………………………………………...</w:t>
      </w:r>
      <w:r>
        <w:rPr>
          <w:rFonts w:ascii="Arial" w:hAnsi="Arial"/>
          <w:color w:val="000000"/>
        </w:rPr>
        <w:br/>
      </w:r>
      <w:r>
        <w:rPr>
          <w:rFonts w:ascii="Arial" w:hAnsi="Arial"/>
          <w:i/>
          <w:color w:val="000000"/>
          <w:sz w:val="20"/>
          <w:szCs w:val="20"/>
        </w:rPr>
        <w:t xml:space="preserve">                                                                                                (pieczęć, czytelny podpis Wnioskodawcy)</w:t>
      </w:r>
    </w:p>
    <w:p w14:paraId="2D9FB747" w14:textId="77777777" w:rsidR="00793990" w:rsidRDefault="00793990" w:rsidP="00793990"/>
    <w:sectPr w:rsidR="007939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63CB" w14:textId="77777777" w:rsidR="00C56267" w:rsidRDefault="00C56267" w:rsidP="00793990">
      <w:pPr>
        <w:spacing w:after="0"/>
      </w:pPr>
      <w:r>
        <w:separator/>
      </w:r>
    </w:p>
  </w:endnote>
  <w:endnote w:type="continuationSeparator" w:id="0">
    <w:p w14:paraId="5645BDED" w14:textId="77777777" w:rsidR="00C56267" w:rsidRDefault="00C56267" w:rsidP="00793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7020" w14:textId="77777777" w:rsidR="00C56267" w:rsidRDefault="00C56267" w:rsidP="00793990">
      <w:pPr>
        <w:spacing w:after="0"/>
      </w:pPr>
      <w:r>
        <w:separator/>
      </w:r>
    </w:p>
  </w:footnote>
  <w:footnote w:type="continuationSeparator" w:id="0">
    <w:p w14:paraId="4B4F84CC" w14:textId="77777777" w:rsidR="00C56267" w:rsidRDefault="00C56267" w:rsidP="00793990">
      <w:pPr>
        <w:spacing w:after="0"/>
      </w:pPr>
      <w:r>
        <w:continuationSeparator/>
      </w:r>
    </w:p>
  </w:footnote>
  <w:footnote w:id="1">
    <w:p w14:paraId="7794B88E" w14:textId="0C66A5A7" w:rsidR="00793990" w:rsidRDefault="00793990" w:rsidP="00793990">
      <w:pPr>
        <w:pStyle w:val="Tekstprzypisudolnego"/>
      </w:pPr>
      <w:r>
        <w:rPr>
          <w:rStyle w:val="Odwoanieprzypisudolnego"/>
        </w:rPr>
        <w:footnoteRef/>
      </w:r>
      <w:r>
        <w:rPr>
          <w:color w:val="FF0000"/>
        </w:rPr>
        <w:t xml:space="preserve"> </w:t>
      </w:r>
      <w:r>
        <w:rPr>
          <w:rFonts w:ascii="Arial" w:hAnsi="Arial" w:cs="Arial"/>
        </w:rPr>
        <w:t>W powszechnym rozumieniu „mieszkaniec” jest to „człowiek mieszkający gdzieś na stałe”, a więc na terenie jakiejś jednostki samorządu terytorialnego (gminy, powiatu, województwa). Innymi słowy „mieszkaniec” jest to członek określonej korporacji prawa publicznego, przynależący do niej na podstawie kryterium terytorialnego. Jak stwierdza Wojewódzki Sąd Administracyjny w Opolu: „wykładnia celowościowa [przepisów ustaw samorządowych – JHS] wskazuje na potrzebę utożsamienia pojęcia „mieszkaniec gminy” z pojęciem „osoby stale zamieszkującej” na obszarze gminy. Ponieważ w zasadzie miejsce zamieszkania zależne jest od zamiaru, a więc od woli konkretnej osoby, a o charakterze pobytu decydują również okoliczności wskazujące na zamiar rzeczywisty, przeto osoby, które spełniają wymienione przesłanki są mieszkańcami gminy, żadne inne kryteria nie powinny decydować o uznaniu danej osoby za mieszkańca gminy” (wyrok Wojewódzkiego Sądu Administracyjnego w Opolu z dnia 13 czerwca 2006 roku, II SA/</w:t>
      </w:r>
      <w:proofErr w:type="spellStart"/>
      <w:r>
        <w:rPr>
          <w:rFonts w:ascii="Arial" w:hAnsi="Arial" w:cs="Arial"/>
        </w:rPr>
        <w:t>Op</w:t>
      </w:r>
      <w:proofErr w:type="spellEnd"/>
      <w:r>
        <w:rPr>
          <w:rFonts w:ascii="Arial" w:hAnsi="Arial" w:cs="Arial"/>
        </w:rPr>
        <w:t xml:space="preserve"> 213/06, LEX nr 475242). Tym samym „mieszkańcem” może być zarówno osoba posiadająca obywatelstwo polskie, jak i obywatelstwo obce, a ponadto osoba nie posiadająca żadnego obywatelstwa (tzw. apatryda). Źródło: </w:t>
      </w:r>
      <w:hyperlink r:id="rId1" w:history="1">
        <w:r w:rsidRPr="006E4719">
          <w:rPr>
            <w:rStyle w:val="Hipercze"/>
            <w:rFonts w:ascii="Arial" w:hAnsi="Arial" w:cs="Arial"/>
            <w:color w:val="auto"/>
          </w:rPr>
          <w:t>https://www.prawo.pl/samorzad/mieszkaniec-to-nie-obywatel-o-zakresie-podmiotowym-tzw-konsultacji-spolecznych,93119.html</w:t>
        </w:r>
      </w:hyperlink>
      <w:r w:rsidRPr="006E4719">
        <w:rPr>
          <w:rFonts w:ascii="Arial" w:hAnsi="Arial" w:cs="Arial"/>
          <w:color w:val="auto"/>
        </w:rPr>
        <w:t xml:space="preserve"> (dostęp dnia: </w:t>
      </w:r>
      <w:r w:rsidR="006E4719" w:rsidRPr="006E4719">
        <w:rPr>
          <w:rFonts w:ascii="Arial" w:hAnsi="Arial" w:cs="Arial"/>
          <w:color w:val="auto"/>
        </w:rPr>
        <w:t>07</w:t>
      </w:r>
      <w:r w:rsidRPr="006E4719">
        <w:rPr>
          <w:rFonts w:ascii="Arial" w:hAnsi="Arial" w:cs="Arial"/>
          <w:color w:val="auto"/>
        </w:rPr>
        <w:t>-</w:t>
      </w:r>
      <w:r w:rsidR="006E4719" w:rsidRPr="006E4719">
        <w:rPr>
          <w:rFonts w:ascii="Arial" w:hAnsi="Arial" w:cs="Arial"/>
          <w:color w:val="auto"/>
        </w:rPr>
        <w:t>01</w:t>
      </w:r>
      <w:r w:rsidRPr="006E4719">
        <w:rPr>
          <w:rFonts w:ascii="Arial" w:hAnsi="Arial" w:cs="Arial"/>
          <w:color w:val="auto"/>
        </w:rPr>
        <w:t>-202</w:t>
      </w:r>
      <w:r w:rsidR="006E4719" w:rsidRPr="006E4719">
        <w:rPr>
          <w:rFonts w:ascii="Arial" w:hAnsi="Arial" w:cs="Arial"/>
          <w:color w:val="auto"/>
        </w:rPr>
        <w:t>6</w:t>
      </w:r>
      <w:r w:rsidRPr="006E4719">
        <w:rPr>
          <w:rFonts w:ascii="Arial" w:hAnsi="Arial" w:cs="Arial"/>
          <w:color w:val="auto"/>
        </w:rPr>
        <w:t xml:space="preserve"> r.).</w:t>
      </w:r>
    </w:p>
    <w:p w14:paraId="1F791287" w14:textId="77777777" w:rsidR="00793990" w:rsidRDefault="00793990" w:rsidP="00793990"/>
    <w:p w14:paraId="02C89119" w14:textId="77777777" w:rsidR="00793990" w:rsidRDefault="00793990" w:rsidP="007939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E1FC6"/>
    <w:multiLevelType w:val="multilevel"/>
    <w:tmpl w:val="3864A07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5C4E76D2"/>
    <w:multiLevelType w:val="multilevel"/>
    <w:tmpl w:val="3ACAAF7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8986268">
    <w:abstractNumId w:val="0"/>
  </w:num>
  <w:num w:numId="2" w16cid:durableId="97310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1D"/>
    <w:rsid w:val="0002746A"/>
    <w:rsid w:val="000F101D"/>
    <w:rsid w:val="00492C74"/>
    <w:rsid w:val="006E4719"/>
    <w:rsid w:val="00793990"/>
    <w:rsid w:val="008E7A82"/>
    <w:rsid w:val="00C56267"/>
    <w:rsid w:val="00D63836"/>
    <w:rsid w:val="00FC2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FA6B"/>
  <w15:chartTrackingRefBased/>
  <w15:docId w15:val="{0FA087DF-04EF-401D-91C3-73961DDC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3990"/>
    <w:pPr>
      <w:widowControl w:val="0"/>
      <w:suppressAutoHyphens/>
      <w:autoSpaceDN w:val="0"/>
      <w:spacing w:after="11" w:line="240" w:lineRule="auto"/>
      <w:ind w:left="365" w:right="33" w:hanging="365"/>
      <w:jc w:val="both"/>
      <w:textAlignment w:val="baseline"/>
    </w:pPr>
    <w:rPr>
      <w:rFonts w:ascii="Calibri" w:eastAsia="Calibri" w:hAnsi="Calibri" w:cs="Calibri"/>
      <w:color w:val="000000"/>
      <w:kern w:val="3"/>
      <w:sz w:val="20"/>
      <w:lang w:eastAsia="zh-CN" w:bidi="hi-IN"/>
      <w14:ligatures w14:val="none"/>
    </w:rPr>
  </w:style>
  <w:style w:type="paragraph" w:styleId="Nagwek1">
    <w:name w:val="heading 1"/>
    <w:basedOn w:val="Normalny"/>
    <w:next w:val="Normalny"/>
    <w:link w:val="Nagwek1Znak"/>
    <w:uiPriority w:val="9"/>
    <w:qFormat/>
    <w:rsid w:val="000F1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1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10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10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F10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F10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10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10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10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0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10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10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10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10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10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10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10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101D"/>
    <w:rPr>
      <w:rFonts w:eastAsiaTheme="majorEastAsia" w:cstheme="majorBidi"/>
      <w:color w:val="272727" w:themeColor="text1" w:themeTint="D8"/>
    </w:rPr>
  </w:style>
  <w:style w:type="paragraph" w:styleId="Tytu">
    <w:name w:val="Title"/>
    <w:basedOn w:val="Normalny"/>
    <w:next w:val="Normalny"/>
    <w:link w:val="TytuZnak"/>
    <w:uiPriority w:val="10"/>
    <w:qFormat/>
    <w:rsid w:val="000F10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10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101D"/>
    <w:pPr>
      <w:numPr>
        <w:ilvl w:val="1"/>
      </w:numPr>
      <w:ind w:left="365" w:hanging="365"/>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10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101D"/>
    <w:pPr>
      <w:spacing w:before="160"/>
      <w:jc w:val="center"/>
    </w:pPr>
    <w:rPr>
      <w:i/>
      <w:iCs/>
      <w:color w:val="404040" w:themeColor="text1" w:themeTint="BF"/>
    </w:rPr>
  </w:style>
  <w:style w:type="character" w:customStyle="1" w:styleId="CytatZnak">
    <w:name w:val="Cytat Znak"/>
    <w:basedOn w:val="Domylnaczcionkaakapitu"/>
    <w:link w:val="Cytat"/>
    <w:uiPriority w:val="29"/>
    <w:rsid w:val="000F101D"/>
    <w:rPr>
      <w:i/>
      <w:iCs/>
      <w:color w:val="404040" w:themeColor="text1" w:themeTint="BF"/>
    </w:rPr>
  </w:style>
  <w:style w:type="paragraph" w:styleId="Akapitzlist">
    <w:name w:val="List Paragraph"/>
    <w:basedOn w:val="Normalny"/>
    <w:uiPriority w:val="34"/>
    <w:qFormat/>
    <w:rsid w:val="000F101D"/>
    <w:pPr>
      <w:ind w:left="720"/>
      <w:contextualSpacing/>
    </w:pPr>
  </w:style>
  <w:style w:type="character" w:styleId="Wyrnienieintensywne">
    <w:name w:val="Intense Emphasis"/>
    <w:basedOn w:val="Domylnaczcionkaakapitu"/>
    <w:uiPriority w:val="21"/>
    <w:qFormat/>
    <w:rsid w:val="000F101D"/>
    <w:rPr>
      <w:i/>
      <w:iCs/>
      <w:color w:val="2F5496" w:themeColor="accent1" w:themeShade="BF"/>
    </w:rPr>
  </w:style>
  <w:style w:type="paragraph" w:styleId="Cytatintensywny">
    <w:name w:val="Intense Quote"/>
    <w:basedOn w:val="Normalny"/>
    <w:next w:val="Normalny"/>
    <w:link w:val="CytatintensywnyZnak"/>
    <w:uiPriority w:val="30"/>
    <w:qFormat/>
    <w:rsid w:val="000F1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F101D"/>
    <w:rPr>
      <w:i/>
      <w:iCs/>
      <w:color w:val="2F5496" w:themeColor="accent1" w:themeShade="BF"/>
    </w:rPr>
  </w:style>
  <w:style w:type="character" w:styleId="Odwoanieintensywne">
    <w:name w:val="Intense Reference"/>
    <w:basedOn w:val="Domylnaczcionkaakapitu"/>
    <w:uiPriority w:val="32"/>
    <w:qFormat/>
    <w:rsid w:val="000F101D"/>
    <w:rPr>
      <w:b/>
      <w:bCs/>
      <w:smallCaps/>
      <w:color w:val="2F5496" w:themeColor="accent1" w:themeShade="BF"/>
      <w:spacing w:val="5"/>
    </w:rPr>
  </w:style>
  <w:style w:type="paragraph" w:customStyle="1" w:styleId="Standard">
    <w:name w:val="Standard"/>
    <w:rsid w:val="000F101D"/>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Textbody">
    <w:name w:val="Text body"/>
    <w:basedOn w:val="Standard"/>
    <w:rsid w:val="000F101D"/>
    <w:pPr>
      <w:spacing w:after="120"/>
    </w:pPr>
  </w:style>
  <w:style w:type="paragraph" w:styleId="Tekstprzypisudolnego">
    <w:name w:val="footnote text"/>
    <w:basedOn w:val="Normalny"/>
    <w:link w:val="TekstprzypisudolnegoZnak"/>
    <w:rsid w:val="00793990"/>
    <w:pPr>
      <w:spacing w:after="0"/>
    </w:pPr>
    <w:rPr>
      <w:rFonts w:cs="Mangal"/>
      <w:szCs w:val="18"/>
    </w:rPr>
  </w:style>
  <w:style w:type="character" w:customStyle="1" w:styleId="TekstprzypisudolnegoZnak">
    <w:name w:val="Tekst przypisu dolnego Znak"/>
    <w:basedOn w:val="Domylnaczcionkaakapitu"/>
    <w:link w:val="Tekstprzypisudolnego"/>
    <w:rsid w:val="00793990"/>
    <w:rPr>
      <w:rFonts w:ascii="Calibri" w:eastAsia="Calibri" w:hAnsi="Calibri" w:cs="Mangal"/>
      <w:color w:val="000000"/>
      <w:kern w:val="3"/>
      <w:sz w:val="20"/>
      <w:szCs w:val="18"/>
      <w:lang w:eastAsia="zh-CN" w:bidi="hi-IN"/>
      <w14:ligatures w14:val="none"/>
    </w:rPr>
  </w:style>
  <w:style w:type="character" w:styleId="Odwoanieprzypisudolnego">
    <w:name w:val="footnote reference"/>
    <w:basedOn w:val="Domylnaczcionkaakapitu"/>
    <w:rsid w:val="00793990"/>
    <w:rPr>
      <w:position w:val="0"/>
      <w:vertAlign w:val="superscript"/>
    </w:rPr>
  </w:style>
  <w:style w:type="character" w:styleId="Hipercze">
    <w:name w:val="Hyperlink"/>
    <w:basedOn w:val="Domylnaczcionkaakapitu"/>
    <w:rsid w:val="007939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prawo.pl/samorzad/mieszkaniec-to-nie-obywatel-o-zakresie-podmiotowym-tzw-konsultacji-spolecznych,93119.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900</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Książek</dc:creator>
  <cp:keywords/>
  <dc:description/>
  <cp:lastModifiedBy>Beata Czaja-Osiak</cp:lastModifiedBy>
  <cp:revision>5</cp:revision>
  <dcterms:created xsi:type="dcterms:W3CDTF">2025-12-22T11:49:00Z</dcterms:created>
  <dcterms:modified xsi:type="dcterms:W3CDTF">2026-01-07T07:49:00Z</dcterms:modified>
</cp:coreProperties>
</file>